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w:t>
      </w:r>
      <w:proofErr w:type="gramStart"/>
      <w:r w:rsidRPr="00E63AC5">
        <w:t>e.g.</w:t>
      </w:r>
      <w:proofErr w:type="gramEnd"/>
      <w:r w:rsidRPr="00E63AC5">
        <w:t xml:space="preserve">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17D5E">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17D5E">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17D5E">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17D5E">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17D5E">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17D5E">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17D5E">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17D5E">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17D5E">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17D5E">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17D5E">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17D5E">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17D5E">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17D5E">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17D5E">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17D5E">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17D5E">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17D5E">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17D5E">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17D5E">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17D5E">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17D5E">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17D5E">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17D5E">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17D5E">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17D5E">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17D5E">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17D5E">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17D5E">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17D5E">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17D5E">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17D5E">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17D5E">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17D5E">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17D5E">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17D5E">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17D5E">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17D5E">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17D5E">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17D5E">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17D5E">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17D5E">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17D5E">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17D5E">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17D5E">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17D5E">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F1E41" w:rsidR="00093CA9" w:rsidRDefault="004C1FF2" w:rsidP="00093CA9">
            <w:r w:rsidRPr="004C1FF2">
              <w:t>Olaniwun Ajayi</w:t>
            </w:r>
            <w:r w:rsidR="008328D3">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03C8A9" w:rsidR="00093CA9" w:rsidRDefault="008E016D" w:rsidP="00093CA9">
            <w:r w:rsidRPr="008E016D">
              <w:t>Rural Electrification Fund Operational Guidelines 2017</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to the source material (</w:t>
            </w:r>
            <w:proofErr w:type="gramStart"/>
            <w:r>
              <w:t>e.g.</w:t>
            </w:r>
            <w:proofErr w:type="gramEnd"/>
            <w:r>
              <w:t xml:space="preserve">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E537E26" w:rsidR="00093CA9" w:rsidRDefault="00B17D5E" w:rsidP="00093CA9">
            <w:hyperlink r:id="rId17" w:history="1">
              <w:r w:rsidR="008328D3" w:rsidRPr="00BC7141">
                <w:rPr>
                  <w:rStyle w:val="Hyperlink"/>
                </w:rPr>
                <w:t>https://rea.gov.ng/wp-content/uploads/2017/11/Approved-Operational-Guidelines-for-the-REF-2017-v3.pdf</w:t>
              </w:r>
            </w:hyperlink>
            <w:r w:rsidR="008328D3">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3635D3C" w14:textId="4CCE1E7E" w:rsidR="009F3B1D" w:rsidRDefault="009F3B1D" w:rsidP="00C15736">
            <w:pPr>
              <w:jc w:val="both"/>
            </w:pPr>
            <w:r>
              <w:t>The policy tool seeks to establish the procedural guidelines for the operation of the Rural Electrification Fund. The fund, originally established under the Electric Power Sector Reform Act</w:t>
            </w:r>
            <w:r w:rsidR="00797F0C">
              <w:t xml:space="preserve"> and now established under section 142 of the Electricity Act. Section 143 of the Electricity Act provides that the fund shall, amongst other purposes, be used to </w:t>
            </w:r>
            <w:r w:rsidR="00797F0C" w:rsidRPr="00797F0C">
              <w:t xml:space="preserve">promote, </w:t>
            </w:r>
            <w:proofErr w:type="gramStart"/>
            <w:r w:rsidR="00797F0C" w:rsidRPr="00797F0C">
              <w:t>support</w:t>
            </w:r>
            <w:proofErr w:type="gramEnd"/>
            <w:r w:rsidR="00797F0C" w:rsidRPr="00797F0C">
              <w:t xml:space="preserve"> and provide sustainable and renewable rural electrification </w:t>
            </w:r>
            <w:r w:rsidR="00797F0C">
              <w:t>p</w:t>
            </w:r>
            <w:r w:rsidR="00797F0C" w:rsidRPr="00797F0C">
              <w:t>rogrammes and projects for underserved and unserved communities</w:t>
            </w:r>
            <w:r w:rsidR="00797F0C">
              <w:t xml:space="preserve">. </w:t>
            </w:r>
            <w:r w:rsidR="00C15736">
              <w:t xml:space="preserve">The guidelines seek to </w:t>
            </w:r>
            <w:r w:rsidR="00C15736" w:rsidRPr="00C15736">
              <w:t xml:space="preserve">provide a structured, transparent, and performance-driven framework for deploying </w:t>
            </w:r>
            <w:r w:rsidR="00C15736">
              <w:t xml:space="preserve">the fund </w:t>
            </w:r>
            <w:r w:rsidR="00C15736" w:rsidRPr="00C15736">
              <w:t>and technical support to private sector developers and other qualified stakeholders engaged in rural electrification.</w:t>
            </w:r>
            <w:r w:rsidR="00797F0C">
              <w:t xml:space="preserve"> </w:t>
            </w:r>
            <w:r>
              <w:t xml:space="preserve"> </w:t>
            </w:r>
          </w:p>
          <w:p w14:paraId="18257824" w14:textId="15EE9B80"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C167694" w:rsidR="00093CA9" w:rsidRDefault="0078360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EB23AFD" w:rsidR="00093CA9" w:rsidRPr="00173D7C" w:rsidRDefault="000B6D9B"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ACCE7C0" w:rsidR="00093CA9" w:rsidRPr="00173D7C" w:rsidRDefault="00A91473"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5A64018" w:rsidR="00093CA9" w:rsidRDefault="00966885" w:rsidP="00093CA9">
            <w:r w:rsidRPr="00966885">
              <w:t>The REF Operational Guidelines were issued by the Rural Electrification Agency (REA), a statutory agency responsible for overseeing rural electrification initiatives in Nigeria. The REA is tasked</w:t>
            </w:r>
            <w:r w:rsidR="00C15736">
              <w:t>, under the Electricity Act,</w:t>
            </w:r>
            <w:r w:rsidRPr="00966885">
              <w:t xml:space="preserve"> with promoting equitable electricity access in underserved and unserved rural communities, managing the Rural Electrification Fund, and facilitating the implementation of electrification projects across the country. It coordinates with various stakeholders, including regulatory bodies and development partners, to administer grants, evaluate proposals, and ensure projects align with national electrification goals. The REA’s role combines policy oversight, fund administration, and project delivery to support the sustainable expansion of energy infrastructure in rural areas.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057975" w:rsidR="00093CA9" w:rsidRPr="006B7B0D" w:rsidRDefault="00AB52FC" w:rsidP="00093CA9">
            <w:r w:rsidRPr="00AB52FC">
              <w:t>Rural Electrification Agency (REA)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5E0FB36" w:rsidR="00093CA9" w:rsidRPr="006B7B0D" w:rsidRDefault="009877E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0D701F7" w:rsidR="00093CA9" w:rsidRDefault="006930E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4D83549" w14:textId="7632B7B4" w:rsidR="006930E6" w:rsidRDefault="006930E6" w:rsidP="00093CA9">
            <w:pPr>
              <w:keepNext/>
              <w:rPr>
                <w:color w:val="000000" w:themeColor="text1"/>
              </w:rPr>
            </w:pPr>
            <w:r>
              <w:rPr>
                <w:color w:val="000000" w:themeColor="text1"/>
              </w:rPr>
              <w:t>The guidelines provide for the appointment of t</w:t>
            </w:r>
            <w:r w:rsidR="00AB5439" w:rsidRPr="00AB5439">
              <w:rPr>
                <w:color w:val="000000" w:themeColor="text1"/>
              </w:rPr>
              <w:t>rust agents</w:t>
            </w:r>
            <w:r w:rsidR="00242EA1">
              <w:rPr>
                <w:color w:val="000000" w:themeColor="text1"/>
              </w:rPr>
              <w:t xml:space="preserve"> who</w:t>
            </w:r>
            <w:r w:rsidR="00AB5439" w:rsidRPr="00AB5439">
              <w:rPr>
                <w:color w:val="000000" w:themeColor="text1"/>
              </w:rPr>
              <w:t xml:space="preserve"> will be selected biennially by the R</w:t>
            </w:r>
            <w:r w:rsidR="006C557F">
              <w:rPr>
                <w:color w:val="000000" w:themeColor="text1"/>
              </w:rPr>
              <w:t xml:space="preserve">ural </w:t>
            </w:r>
            <w:r w:rsidR="00AB5439" w:rsidRPr="00AB5439">
              <w:rPr>
                <w:color w:val="000000" w:themeColor="text1"/>
              </w:rPr>
              <w:t>E</w:t>
            </w:r>
            <w:r w:rsidR="006C557F">
              <w:rPr>
                <w:color w:val="000000" w:themeColor="text1"/>
              </w:rPr>
              <w:t xml:space="preserve">lectrification </w:t>
            </w:r>
            <w:r w:rsidR="00AB5439" w:rsidRPr="00AB5439">
              <w:rPr>
                <w:color w:val="000000" w:themeColor="text1"/>
              </w:rPr>
              <w:t>A</w:t>
            </w:r>
            <w:r w:rsidR="006C557F">
              <w:rPr>
                <w:color w:val="000000" w:themeColor="text1"/>
              </w:rPr>
              <w:t>gency (REA)</w:t>
            </w:r>
            <w:r w:rsidR="00AB5439" w:rsidRPr="00AB5439">
              <w:rPr>
                <w:color w:val="000000" w:themeColor="text1"/>
              </w:rPr>
              <w:t xml:space="preserve"> to monitor REF grant disbursement following an open competitive procedure. </w:t>
            </w:r>
            <w:r w:rsidRPr="006930E6">
              <w:rPr>
                <w:color w:val="000000" w:themeColor="text1"/>
              </w:rPr>
              <w:t xml:space="preserve">The disbursement of the financial support </w:t>
            </w:r>
            <w:r w:rsidR="00242EA1">
              <w:rPr>
                <w:color w:val="000000" w:themeColor="text1"/>
              </w:rPr>
              <w:t xml:space="preserve">to be provided by the fund </w:t>
            </w:r>
            <w:r w:rsidRPr="006930E6">
              <w:rPr>
                <w:color w:val="000000" w:themeColor="text1"/>
              </w:rPr>
              <w:t xml:space="preserve">shall be instructed by the REA and effected by the </w:t>
            </w:r>
            <w:r w:rsidR="00592E44">
              <w:rPr>
                <w:color w:val="000000" w:themeColor="text1"/>
              </w:rPr>
              <w:t>t</w:t>
            </w:r>
            <w:r w:rsidRPr="006930E6">
              <w:rPr>
                <w:color w:val="000000" w:themeColor="text1"/>
              </w:rPr>
              <w:t xml:space="preserve">rust </w:t>
            </w:r>
            <w:r w:rsidR="00592E44">
              <w:rPr>
                <w:color w:val="000000" w:themeColor="text1"/>
              </w:rPr>
              <w:t>a</w:t>
            </w:r>
            <w:r w:rsidRPr="006930E6">
              <w:rPr>
                <w:color w:val="000000" w:themeColor="text1"/>
              </w:rPr>
              <w:t>gent</w:t>
            </w:r>
            <w:r w:rsidR="006C557F">
              <w:rPr>
                <w:color w:val="000000" w:themeColor="text1"/>
              </w:rPr>
              <w:t>.</w:t>
            </w:r>
            <w:r w:rsidRPr="006930E6">
              <w:rPr>
                <w:color w:val="000000" w:themeColor="text1"/>
              </w:rPr>
              <w:t xml:space="preserve"> </w:t>
            </w:r>
          </w:p>
          <w:p w14:paraId="275C7CD8" w14:textId="77777777" w:rsidR="00592E44" w:rsidRDefault="00592E44" w:rsidP="00093CA9">
            <w:pPr>
              <w:keepNext/>
              <w:rPr>
                <w:color w:val="000000" w:themeColor="text1"/>
              </w:rPr>
            </w:pPr>
          </w:p>
          <w:p w14:paraId="2C2128DB" w14:textId="5C5C99C2" w:rsidR="006930E6" w:rsidRPr="008017F9" w:rsidRDefault="00592E44" w:rsidP="00093CA9">
            <w:pPr>
              <w:keepNext/>
              <w:rPr>
                <w:color w:val="000000" w:themeColor="text1"/>
              </w:rPr>
            </w:pPr>
            <w:r>
              <w:rPr>
                <w:color w:val="000000" w:themeColor="text1"/>
              </w:rPr>
              <w:t>Further, t</w:t>
            </w:r>
            <w:r w:rsidR="006930E6" w:rsidRPr="006930E6">
              <w:rPr>
                <w:color w:val="000000" w:themeColor="text1"/>
              </w:rPr>
              <w:t xml:space="preserve">he REA </w:t>
            </w:r>
            <w:r>
              <w:rPr>
                <w:color w:val="000000" w:themeColor="text1"/>
              </w:rPr>
              <w:t xml:space="preserve">is empowered under the guidelines to </w:t>
            </w:r>
            <w:r w:rsidR="006930E6" w:rsidRPr="006930E6">
              <w:rPr>
                <w:color w:val="000000" w:themeColor="text1"/>
              </w:rPr>
              <w:t>frequently organize independent field verifications of selected projects to ensure</w:t>
            </w:r>
            <w:r>
              <w:rPr>
                <w:color w:val="000000" w:themeColor="text1"/>
              </w:rPr>
              <w:t xml:space="preserve">, </w:t>
            </w:r>
            <w:r w:rsidRPr="00592E44">
              <w:rPr>
                <w:i/>
                <w:iCs/>
                <w:color w:val="000000" w:themeColor="text1"/>
              </w:rPr>
              <w:t>inter alia</w:t>
            </w:r>
            <w:r>
              <w:rPr>
                <w:color w:val="000000" w:themeColor="text1"/>
              </w:rPr>
              <w:t>,</w:t>
            </w:r>
            <w:r w:rsidR="006930E6" w:rsidRPr="006930E6">
              <w:rPr>
                <w:color w:val="000000" w:themeColor="text1"/>
              </w:rPr>
              <w:t xml:space="preserve"> that projects the type of </w:t>
            </w:r>
            <w:r>
              <w:rPr>
                <w:color w:val="000000" w:themeColor="text1"/>
              </w:rPr>
              <w:t>p</w:t>
            </w:r>
            <w:r w:rsidR="006930E6" w:rsidRPr="006930E6">
              <w:rPr>
                <w:color w:val="000000" w:themeColor="text1"/>
              </w:rPr>
              <w:t xml:space="preserve">ower </w:t>
            </w:r>
            <w:r>
              <w:rPr>
                <w:color w:val="000000" w:themeColor="text1"/>
              </w:rPr>
              <w:t>s</w:t>
            </w:r>
            <w:r w:rsidR="006930E6" w:rsidRPr="006930E6">
              <w:rPr>
                <w:color w:val="000000" w:themeColor="text1"/>
              </w:rPr>
              <w:t xml:space="preserve">upply </w:t>
            </w:r>
            <w:proofErr w:type="spellStart"/>
            <w:r>
              <w:rPr>
                <w:color w:val="000000" w:themeColor="text1"/>
              </w:rPr>
              <w:t>s</w:t>
            </w:r>
            <w:r w:rsidR="006930E6" w:rsidRPr="006930E6">
              <w:rPr>
                <w:color w:val="000000" w:themeColor="text1"/>
              </w:rPr>
              <w:t>ystems</w:t>
            </w:r>
            <w:proofErr w:type="spellEnd"/>
            <w:r w:rsidR="006930E6" w:rsidRPr="006930E6">
              <w:rPr>
                <w:color w:val="000000" w:themeColor="text1"/>
              </w:rPr>
              <w:t xml:space="preserve"> being deployed is consistent with the approval granted</w:t>
            </w:r>
            <w:r>
              <w:rPr>
                <w:color w:val="000000" w:themeColor="text1"/>
              </w:rPr>
              <w:t xml:space="preserve">, which is important given that the guidelines require that </w:t>
            </w:r>
            <w:r w:rsidRPr="00592E44">
              <w:rPr>
                <w:color w:val="000000" w:themeColor="text1"/>
              </w:rPr>
              <w:t xml:space="preserve">all solutions supported by the REF shall fall under the category of renewable energy, having, at least, a 30% penetration by a renewable energy </w:t>
            </w:r>
            <w:r w:rsidRPr="00592E44">
              <w:rPr>
                <w:color w:val="000000" w:themeColor="text1"/>
              </w:rPr>
              <w:lastRenderedPageBreak/>
              <w:t>source or a combination of them</w:t>
            </w:r>
            <w:r w:rsidR="006930E6" w:rsidRPr="006930E6">
              <w:rPr>
                <w:color w:val="000000" w:themeColor="text1"/>
              </w:rPr>
              <w:t>. Independent field verifications may continue up till one (1) year after the completion of grant disbursement by the REA.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w:t>
            </w:r>
            <w:proofErr w:type="gramStart"/>
            <w:r w:rsidR="007B6E7E" w:rsidRPr="007B6E7E">
              <w:t>e.g.</w:t>
            </w:r>
            <w:proofErr w:type="gramEnd"/>
            <w:r w:rsidR="007B6E7E" w:rsidRPr="007B6E7E">
              <w:t xml:space="preserve">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 xml:space="preserve">Government agencies and/or departments (regional - </w:t>
            </w:r>
            <w:proofErr w:type="gramStart"/>
            <w:r>
              <w:t>e.g.</w:t>
            </w:r>
            <w:proofErr w:type="gramEnd"/>
            <w:r>
              <w:t xml:space="preserve">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w:t>
            </w:r>
            <w:proofErr w:type="gramStart"/>
            <w:r>
              <w:t>e.g.</w:t>
            </w:r>
            <w:proofErr w:type="gramEnd"/>
            <w:r>
              <w:t xml:space="preserve">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w:t>
            </w:r>
            <w:proofErr w:type="gramStart"/>
            <w:r>
              <w:t>e.g.</w:t>
            </w:r>
            <w:proofErr w:type="gramEnd"/>
            <w:r>
              <w:t xml:space="preserve">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w:t>
            </w:r>
            <w:proofErr w:type="gramStart"/>
            <w:r>
              <w:t>e.g.</w:t>
            </w:r>
            <w:proofErr w:type="gramEnd"/>
            <w:r>
              <w:t xml:space="preserve">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w:t>
            </w:r>
            <w:proofErr w:type="gramStart"/>
            <w:r>
              <w:t>e.g.</w:t>
            </w:r>
            <w:proofErr w:type="gramEnd"/>
            <w:r>
              <w:t xml:space="preserve">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w:t>
            </w:r>
            <w:proofErr w:type="gramStart"/>
            <w:r>
              <w:t>e.g.</w:t>
            </w:r>
            <w:proofErr w:type="gramEnd"/>
            <w:r>
              <w:t xml:space="preserve">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w:t>
            </w:r>
            <w:proofErr w:type="gramStart"/>
            <w:r>
              <w:t>e.g.</w:t>
            </w:r>
            <w:proofErr w:type="gramEnd"/>
            <w:r>
              <w:t xml:space="preserve">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w:t>
            </w:r>
            <w:proofErr w:type="gramStart"/>
            <w:r w:rsidRPr="00DD3144">
              <w:rPr>
                <w:rFonts w:ascii="Calibri" w:hAnsi="Calibri" w:cs="Calibri"/>
              </w:rPr>
              <w:t>i.e.</w:t>
            </w:r>
            <w:proofErr w:type="gramEnd"/>
            <w:r w:rsidRPr="00DD3144">
              <w:rPr>
                <w:rFonts w:ascii="Calibri" w:hAnsi="Calibri" w:cs="Calibri"/>
              </w:rPr>
              <w:t xml:space="preserv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B2217D5" w:rsidR="00C4670C" w:rsidRPr="00C37D48" w:rsidRDefault="00C4670C" w:rsidP="00C37D48">
            <w:pPr>
              <w:rPr>
                <w:rFonts w:ascii="Calibri" w:hAnsi="Calibri" w:cs="Calibri"/>
              </w:rPr>
            </w:pPr>
          </w:p>
        </w:tc>
        <w:tc>
          <w:tcPr>
            <w:tcW w:w="1664" w:type="dxa"/>
            <w:vAlign w:val="center"/>
          </w:tcPr>
          <w:p w14:paraId="798A6AD1" w14:textId="55F90BC3" w:rsidR="00C4670C" w:rsidRPr="00C37D48" w:rsidRDefault="00940A38"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DEF51F0"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E451952" w:rsidR="00C4670C" w:rsidRPr="00C37D48" w:rsidRDefault="00940A38"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6852BD6" w:rsidR="00C4670C" w:rsidRPr="00C37D48" w:rsidRDefault="00C4670C" w:rsidP="00C37D48">
            <w:pPr>
              <w:rPr>
                <w:rFonts w:ascii="Calibri" w:hAnsi="Calibri" w:cs="Calibri"/>
              </w:rPr>
            </w:pPr>
          </w:p>
        </w:tc>
        <w:tc>
          <w:tcPr>
            <w:tcW w:w="1664" w:type="dxa"/>
            <w:vAlign w:val="center"/>
          </w:tcPr>
          <w:p w14:paraId="57A593E9" w14:textId="4BE944B1" w:rsidR="00C4670C" w:rsidRPr="00C37D48" w:rsidRDefault="00940A38"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1272993"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EFD1557" w:rsidR="00C4670C" w:rsidRPr="00C37D48" w:rsidRDefault="00940A38"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4E4BF20" w:rsidR="00C4670C" w:rsidRPr="00C37D48" w:rsidRDefault="00C4670C" w:rsidP="00C37D48">
            <w:pPr>
              <w:rPr>
                <w:rFonts w:ascii="Calibri" w:hAnsi="Calibri" w:cs="Calibri"/>
              </w:rPr>
            </w:pPr>
          </w:p>
        </w:tc>
        <w:tc>
          <w:tcPr>
            <w:tcW w:w="1664" w:type="dxa"/>
            <w:vAlign w:val="center"/>
          </w:tcPr>
          <w:p w14:paraId="0FDFBF9A" w14:textId="5E2878AE" w:rsidR="00C4670C" w:rsidRPr="00C37D48" w:rsidRDefault="00940A38"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672A785"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1AA8F64" w:rsidR="00C4670C" w:rsidRPr="00C37D48" w:rsidRDefault="00940A3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F4BBF7C" w:rsidR="00C4670C" w:rsidRPr="00C37D48" w:rsidRDefault="001F6FF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6860A73" w:rsidR="00C4670C" w:rsidRPr="00C37D48" w:rsidRDefault="001F6FF9"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w:t>
            </w:r>
            <w:proofErr w:type="gramStart"/>
            <w:r w:rsidRPr="00C37D48">
              <w:rPr>
                <w:rFonts w:ascii="Calibri" w:hAnsi="Calibri" w:cs="Calibri"/>
              </w:rPr>
              <w:t>e.g.</w:t>
            </w:r>
            <w:proofErr w:type="gramEnd"/>
            <w:r w:rsidRPr="00C37D48">
              <w:rPr>
                <w:rFonts w:ascii="Calibri" w:hAnsi="Calibri" w:cs="Calibri"/>
              </w:rPr>
              <w:t xml:space="preserve">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27917F38" w:rsidR="00C4670C" w:rsidRPr="00C37D48" w:rsidRDefault="00C4670C" w:rsidP="00C37D48">
            <w:pPr>
              <w:rPr>
                <w:rFonts w:ascii="Calibri" w:hAnsi="Calibri" w:cs="Calibri"/>
              </w:rPr>
            </w:pPr>
          </w:p>
        </w:tc>
        <w:tc>
          <w:tcPr>
            <w:tcW w:w="1664" w:type="dxa"/>
            <w:vAlign w:val="center"/>
          </w:tcPr>
          <w:p w14:paraId="140BFFE7" w14:textId="174BC38D" w:rsidR="00C4670C" w:rsidRPr="00C37D48" w:rsidRDefault="00940A38"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w:t>
            </w:r>
            <w:proofErr w:type="gramStart"/>
            <w:r w:rsidRPr="00C37D48">
              <w:rPr>
                <w:rFonts w:ascii="Calibri" w:hAnsi="Calibri" w:cs="Calibri"/>
              </w:rPr>
              <w:t>e.g.</w:t>
            </w:r>
            <w:proofErr w:type="gramEnd"/>
            <w:r w:rsidRPr="00C37D48">
              <w:rPr>
                <w:rFonts w:ascii="Calibri" w:hAnsi="Calibri" w:cs="Calibri"/>
              </w:rPr>
              <w:t xml:space="preserve">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13CA6262" w:rsidR="00C4670C" w:rsidRPr="00C37D48" w:rsidRDefault="00C4670C" w:rsidP="00C37D48">
            <w:pPr>
              <w:rPr>
                <w:rFonts w:ascii="Calibri" w:hAnsi="Calibri" w:cs="Calibri"/>
              </w:rPr>
            </w:pPr>
          </w:p>
        </w:tc>
        <w:tc>
          <w:tcPr>
            <w:tcW w:w="1664" w:type="dxa"/>
            <w:vAlign w:val="center"/>
          </w:tcPr>
          <w:p w14:paraId="16075C1E" w14:textId="5099B1FE" w:rsidR="00C4670C" w:rsidRPr="00C37D48" w:rsidRDefault="00940A38"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C1D9912" w:rsidR="00C4670C" w:rsidRPr="00C37D48" w:rsidRDefault="001F6FF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w:t>
            </w:r>
            <w:proofErr w:type="gramStart"/>
            <w:r w:rsidRPr="00C37D48">
              <w:rPr>
                <w:rFonts w:ascii="Calibri" w:hAnsi="Calibri" w:cs="Calibri"/>
              </w:rPr>
              <w:t>e.g.</w:t>
            </w:r>
            <w:proofErr w:type="gramEnd"/>
            <w:r w:rsidRPr="00C37D48">
              <w:rPr>
                <w:rFonts w:ascii="Calibri" w:hAnsi="Calibri" w:cs="Calibri"/>
              </w:rPr>
              <w:t xml:space="preserve">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58BF90BC" w:rsidR="00C4670C" w:rsidRPr="00C37D48" w:rsidRDefault="001F6FF9" w:rsidP="00C37D48">
            <w:pPr>
              <w:rPr>
                <w:rFonts w:ascii="Calibri" w:hAnsi="Calibri" w:cs="Calibri"/>
              </w:rPr>
            </w:pPr>
            <w:r>
              <w:rPr>
                <w:rFonts w:ascii="Calibri" w:hAnsi="Calibri" w:cs="Calibri"/>
              </w:rPr>
              <w:t>X</w:t>
            </w:r>
          </w:p>
        </w:tc>
        <w:tc>
          <w:tcPr>
            <w:tcW w:w="1664" w:type="dxa"/>
            <w:vAlign w:val="center"/>
          </w:tcPr>
          <w:p w14:paraId="109BE34F" w14:textId="5AE7423B"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562D17AD" w:rsidR="004F276F" w:rsidRPr="00C37D48" w:rsidRDefault="004F276F" w:rsidP="00C37D48">
            <w:pPr>
              <w:rPr>
                <w:rFonts w:ascii="Calibri" w:hAnsi="Calibri" w:cs="Calibri"/>
              </w:rPr>
            </w:pPr>
          </w:p>
        </w:tc>
        <w:tc>
          <w:tcPr>
            <w:tcW w:w="1664" w:type="dxa"/>
            <w:vAlign w:val="center"/>
          </w:tcPr>
          <w:p w14:paraId="7606CC28" w14:textId="2C43B84F" w:rsidR="004F276F" w:rsidRPr="00C37D48" w:rsidRDefault="00940A38"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1AF22C08" w:rsidR="004F276F" w:rsidRPr="00C37D48" w:rsidRDefault="004F276F" w:rsidP="00C37D48">
            <w:pPr>
              <w:rPr>
                <w:rFonts w:ascii="Calibri" w:hAnsi="Calibri" w:cs="Calibri"/>
              </w:rPr>
            </w:pPr>
          </w:p>
        </w:tc>
        <w:tc>
          <w:tcPr>
            <w:tcW w:w="1664" w:type="dxa"/>
            <w:vAlign w:val="center"/>
          </w:tcPr>
          <w:p w14:paraId="0CD4ED18" w14:textId="3D027608" w:rsidR="004F276F" w:rsidRPr="00C37D48" w:rsidRDefault="00940A38"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578FDCC3" w:rsidR="004F276F" w:rsidRPr="00C37D48" w:rsidRDefault="004F276F" w:rsidP="00C37D48">
            <w:pPr>
              <w:rPr>
                <w:rFonts w:ascii="Calibri" w:hAnsi="Calibri" w:cs="Calibri"/>
              </w:rPr>
            </w:pPr>
          </w:p>
        </w:tc>
        <w:tc>
          <w:tcPr>
            <w:tcW w:w="1664" w:type="dxa"/>
            <w:vAlign w:val="center"/>
          </w:tcPr>
          <w:p w14:paraId="3A92AF9A" w14:textId="2276E7C0" w:rsidR="004F276F" w:rsidRPr="00C37D48" w:rsidRDefault="00940A38"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51504F9" w:rsidR="004F276F" w:rsidRPr="00C37D48" w:rsidRDefault="004F276F" w:rsidP="00C37D48">
            <w:pPr>
              <w:rPr>
                <w:rFonts w:ascii="Calibri" w:hAnsi="Calibri" w:cs="Calibri"/>
              </w:rPr>
            </w:pPr>
          </w:p>
        </w:tc>
        <w:tc>
          <w:tcPr>
            <w:tcW w:w="1664" w:type="dxa"/>
            <w:vAlign w:val="center"/>
          </w:tcPr>
          <w:p w14:paraId="178A14A0" w14:textId="46A5783B" w:rsidR="004F276F" w:rsidRPr="00C37D48" w:rsidRDefault="00940A38"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526CA005" w:rsidR="004F276F" w:rsidRPr="00C37D48" w:rsidRDefault="004F276F" w:rsidP="00C37D48">
            <w:pPr>
              <w:rPr>
                <w:rFonts w:ascii="Calibri" w:hAnsi="Calibri" w:cs="Calibri"/>
              </w:rPr>
            </w:pPr>
          </w:p>
        </w:tc>
        <w:tc>
          <w:tcPr>
            <w:tcW w:w="1664" w:type="dxa"/>
            <w:vAlign w:val="center"/>
          </w:tcPr>
          <w:p w14:paraId="0ABAA9A3" w14:textId="55025436" w:rsidR="004F276F" w:rsidRPr="00C37D48" w:rsidRDefault="00940A38"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55658138" w:rsidR="004F276F" w:rsidRPr="00C37D48" w:rsidRDefault="004F276F" w:rsidP="00C37D48">
            <w:pPr>
              <w:rPr>
                <w:rFonts w:ascii="Calibri" w:hAnsi="Calibri" w:cs="Calibri"/>
              </w:rPr>
            </w:pPr>
          </w:p>
        </w:tc>
        <w:tc>
          <w:tcPr>
            <w:tcW w:w="1664" w:type="dxa"/>
            <w:vAlign w:val="center"/>
          </w:tcPr>
          <w:p w14:paraId="25F2C95C" w14:textId="791B7A2D" w:rsidR="004F276F" w:rsidRPr="00C37D48" w:rsidRDefault="00940A38"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321B26DF" w:rsidR="004F276F" w:rsidRPr="00C37D48" w:rsidRDefault="004F276F" w:rsidP="00C37D48">
            <w:pPr>
              <w:rPr>
                <w:rFonts w:ascii="Calibri" w:hAnsi="Calibri" w:cs="Calibri"/>
              </w:rPr>
            </w:pPr>
          </w:p>
        </w:tc>
        <w:tc>
          <w:tcPr>
            <w:tcW w:w="1664" w:type="dxa"/>
            <w:vAlign w:val="center"/>
          </w:tcPr>
          <w:p w14:paraId="5911FCCB" w14:textId="2E2B180B" w:rsidR="004F276F" w:rsidRPr="00C37D48" w:rsidRDefault="00940A38"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56AF1792" w:rsidR="004F276F" w:rsidRPr="00C37D48" w:rsidRDefault="004F276F" w:rsidP="00C37D48">
            <w:pPr>
              <w:rPr>
                <w:rFonts w:ascii="Calibri" w:hAnsi="Calibri" w:cs="Calibri"/>
              </w:rPr>
            </w:pPr>
          </w:p>
        </w:tc>
        <w:tc>
          <w:tcPr>
            <w:tcW w:w="1664" w:type="dxa"/>
            <w:vAlign w:val="center"/>
          </w:tcPr>
          <w:p w14:paraId="74DB416D" w14:textId="46463609" w:rsidR="004F276F" w:rsidRPr="00C37D48" w:rsidRDefault="00940A38"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0CA1BA0" w:rsidR="004F276F" w:rsidRPr="00C37D48" w:rsidRDefault="004F276F" w:rsidP="00C37D48">
            <w:pPr>
              <w:rPr>
                <w:rFonts w:ascii="Calibri" w:hAnsi="Calibri" w:cs="Calibri"/>
              </w:rPr>
            </w:pPr>
          </w:p>
        </w:tc>
        <w:tc>
          <w:tcPr>
            <w:tcW w:w="1614" w:type="dxa"/>
            <w:vAlign w:val="center"/>
          </w:tcPr>
          <w:p w14:paraId="6D9B9D6B" w14:textId="0958BB4D" w:rsidR="004F276F" w:rsidRPr="00C37D48" w:rsidRDefault="00EE1DB4"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16281EB9" w:rsidR="004F276F" w:rsidRPr="00C37D48" w:rsidRDefault="004F276F" w:rsidP="00C37D48">
            <w:pPr>
              <w:rPr>
                <w:rFonts w:ascii="Calibri" w:hAnsi="Calibri" w:cs="Calibri"/>
              </w:rPr>
            </w:pPr>
          </w:p>
        </w:tc>
        <w:tc>
          <w:tcPr>
            <w:tcW w:w="1664" w:type="dxa"/>
            <w:vAlign w:val="center"/>
          </w:tcPr>
          <w:p w14:paraId="712A9F8C" w14:textId="0E93E185" w:rsidR="004F276F" w:rsidRPr="00C37D48" w:rsidRDefault="00940A38"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C2F5B27" w:rsidR="004F276F" w:rsidRPr="00C37D48" w:rsidRDefault="004F276F" w:rsidP="00C37D48">
            <w:pPr>
              <w:rPr>
                <w:rFonts w:ascii="Calibri" w:hAnsi="Calibri" w:cs="Calibri"/>
              </w:rPr>
            </w:pPr>
          </w:p>
        </w:tc>
        <w:tc>
          <w:tcPr>
            <w:tcW w:w="1664" w:type="dxa"/>
            <w:vAlign w:val="center"/>
          </w:tcPr>
          <w:p w14:paraId="0C689372" w14:textId="5A3F7485" w:rsidR="004F276F" w:rsidRPr="00C37D48" w:rsidRDefault="00940A38"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5FC8A6A1" w:rsidR="004F276F" w:rsidRPr="00C37D48" w:rsidRDefault="004F276F" w:rsidP="00C37D48">
            <w:pPr>
              <w:rPr>
                <w:rFonts w:ascii="Calibri" w:hAnsi="Calibri" w:cs="Calibri"/>
              </w:rPr>
            </w:pPr>
          </w:p>
        </w:tc>
        <w:tc>
          <w:tcPr>
            <w:tcW w:w="1664" w:type="dxa"/>
            <w:vAlign w:val="center"/>
          </w:tcPr>
          <w:p w14:paraId="43423AA3" w14:textId="4F65FDEA" w:rsidR="004F276F" w:rsidRPr="00C37D48" w:rsidRDefault="00940A3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2FAD68EC" w:rsidR="004F276F" w:rsidRPr="00C37D48" w:rsidRDefault="004F276F" w:rsidP="00C37D48">
            <w:pPr>
              <w:rPr>
                <w:rFonts w:ascii="Calibri" w:hAnsi="Calibri" w:cs="Calibri"/>
              </w:rPr>
            </w:pPr>
          </w:p>
        </w:tc>
        <w:tc>
          <w:tcPr>
            <w:tcW w:w="1664" w:type="dxa"/>
            <w:vAlign w:val="center"/>
          </w:tcPr>
          <w:p w14:paraId="04FFF760" w14:textId="12F9A240" w:rsidR="004F276F" w:rsidRPr="00C37D48" w:rsidRDefault="00940A38"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2A9EF7EF" w:rsidR="004F276F" w:rsidRPr="00C37D48" w:rsidRDefault="004F276F" w:rsidP="00C37D48">
            <w:pPr>
              <w:rPr>
                <w:rFonts w:ascii="Calibri" w:hAnsi="Calibri" w:cs="Calibri"/>
              </w:rPr>
            </w:pPr>
          </w:p>
        </w:tc>
        <w:tc>
          <w:tcPr>
            <w:tcW w:w="1664" w:type="dxa"/>
            <w:vAlign w:val="center"/>
          </w:tcPr>
          <w:p w14:paraId="4CEDE341" w14:textId="0DD233DD" w:rsidR="004F276F" w:rsidRPr="00C37D48" w:rsidRDefault="00EE1DB4"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2F9A4944" w:rsidR="004F276F" w:rsidRPr="00C37D48" w:rsidRDefault="004F276F" w:rsidP="00C37D48">
            <w:pPr>
              <w:rPr>
                <w:rFonts w:ascii="Calibri" w:hAnsi="Calibri" w:cs="Calibri"/>
              </w:rPr>
            </w:pPr>
          </w:p>
        </w:tc>
        <w:tc>
          <w:tcPr>
            <w:tcW w:w="1664" w:type="dxa"/>
            <w:vAlign w:val="center"/>
          </w:tcPr>
          <w:p w14:paraId="632C4C08" w14:textId="541C6B1E" w:rsidR="004F276F" w:rsidRPr="00C37D48" w:rsidRDefault="00EE1DB4"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4CF98D72" w:rsidR="004F276F" w:rsidRPr="00C37D48" w:rsidRDefault="004F276F" w:rsidP="00C37D48">
            <w:pPr>
              <w:rPr>
                <w:rFonts w:ascii="Calibri" w:hAnsi="Calibri" w:cs="Calibri"/>
              </w:rPr>
            </w:pPr>
          </w:p>
        </w:tc>
        <w:tc>
          <w:tcPr>
            <w:tcW w:w="1664" w:type="dxa"/>
            <w:vAlign w:val="center"/>
          </w:tcPr>
          <w:p w14:paraId="03AEF6B3" w14:textId="614642D3" w:rsidR="004F276F" w:rsidRPr="00C37D48" w:rsidRDefault="00EE1DB4"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1CB41CCB" w:rsidR="004F276F" w:rsidRPr="00C37D48" w:rsidRDefault="004F276F" w:rsidP="00C37D48">
            <w:pPr>
              <w:rPr>
                <w:rFonts w:ascii="Calibri" w:hAnsi="Calibri" w:cs="Calibri"/>
              </w:rPr>
            </w:pPr>
          </w:p>
        </w:tc>
        <w:tc>
          <w:tcPr>
            <w:tcW w:w="1664" w:type="dxa"/>
            <w:vAlign w:val="center"/>
          </w:tcPr>
          <w:p w14:paraId="57F80407" w14:textId="5F7E8C31" w:rsidR="004F276F" w:rsidRPr="00C37D48" w:rsidRDefault="00EE1DB4"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44C14B12" w:rsidR="004F276F" w:rsidRPr="00C37D48" w:rsidRDefault="004F276F" w:rsidP="00C37D48">
            <w:pPr>
              <w:rPr>
                <w:rFonts w:ascii="Calibri" w:hAnsi="Calibri" w:cs="Calibri"/>
              </w:rPr>
            </w:pPr>
          </w:p>
        </w:tc>
        <w:tc>
          <w:tcPr>
            <w:tcW w:w="1614" w:type="dxa"/>
            <w:vAlign w:val="center"/>
          </w:tcPr>
          <w:p w14:paraId="0471519E" w14:textId="0F444CD6" w:rsidR="004F276F" w:rsidRPr="00C37D48" w:rsidRDefault="004F276F" w:rsidP="00C37D48">
            <w:pPr>
              <w:rPr>
                <w:rFonts w:ascii="Calibri" w:hAnsi="Calibri" w:cs="Calibri"/>
              </w:rPr>
            </w:pPr>
          </w:p>
        </w:tc>
        <w:tc>
          <w:tcPr>
            <w:tcW w:w="1664" w:type="dxa"/>
            <w:vAlign w:val="center"/>
          </w:tcPr>
          <w:p w14:paraId="0A54D42C" w14:textId="14D51117" w:rsidR="004F276F" w:rsidRPr="00C37D48" w:rsidRDefault="00EE1DB4"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4669DBA3" w:rsidR="004F276F" w:rsidRPr="00C37D48" w:rsidRDefault="004F276F" w:rsidP="00C37D48">
            <w:pPr>
              <w:rPr>
                <w:rFonts w:ascii="Calibri" w:hAnsi="Calibri" w:cs="Calibri"/>
              </w:rPr>
            </w:pPr>
          </w:p>
        </w:tc>
        <w:tc>
          <w:tcPr>
            <w:tcW w:w="1664" w:type="dxa"/>
            <w:vAlign w:val="center"/>
          </w:tcPr>
          <w:p w14:paraId="70DC804C" w14:textId="4CFD584D" w:rsidR="004F276F" w:rsidRPr="00C37D48" w:rsidRDefault="00EE1DB4"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661BDDD8" w:rsidR="004F276F" w:rsidRPr="00C37D48" w:rsidRDefault="004F276F" w:rsidP="00C37D48">
            <w:pPr>
              <w:rPr>
                <w:rFonts w:ascii="Calibri" w:hAnsi="Calibri" w:cs="Calibri"/>
              </w:rPr>
            </w:pPr>
          </w:p>
        </w:tc>
        <w:tc>
          <w:tcPr>
            <w:tcW w:w="1664" w:type="dxa"/>
            <w:vAlign w:val="center"/>
          </w:tcPr>
          <w:p w14:paraId="0734436C" w14:textId="2E315D9D" w:rsidR="004F276F" w:rsidRPr="00C37D48" w:rsidRDefault="00EE1DB4"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561A9B4F" w:rsidR="004F276F" w:rsidRPr="00C37D48" w:rsidRDefault="004F276F" w:rsidP="00C37D48">
            <w:pPr>
              <w:rPr>
                <w:rFonts w:ascii="Calibri" w:hAnsi="Calibri" w:cs="Calibri"/>
              </w:rPr>
            </w:pPr>
          </w:p>
        </w:tc>
        <w:tc>
          <w:tcPr>
            <w:tcW w:w="1664" w:type="dxa"/>
            <w:vAlign w:val="center"/>
          </w:tcPr>
          <w:p w14:paraId="782194E8" w14:textId="36E10922" w:rsidR="004F276F" w:rsidRPr="00C37D48" w:rsidRDefault="00EE1DB4"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55C4F87E" w:rsidR="004F276F" w:rsidRPr="00C37D48" w:rsidRDefault="004F276F" w:rsidP="00C37D48">
            <w:pPr>
              <w:rPr>
                <w:rFonts w:ascii="Calibri" w:hAnsi="Calibri" w:cs="Calibri"/>
              </w:rPr>
            </w:pPr>
          </w:p>
        </w:tc>
        <w:tc>
          <w:tcPr>
            <w:tcW w:w="1664" w:type="dxa"/>
            <w:vAlign w:val="center"/>
          </w:tcPr>
          <w:p w14:paraId="4759EBB8" w14:textId="7228208F" w:rsidR="004F276F" w:rsidRPr="00C37D48" w:rsidRDefault="00EE1DB4"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007DEEF7" w:rsidR="004F276F" w:rsidRPr="00C37D48" w:rsidRDefault="004F276F" w:rsidP="00C37D48">
            <w:pPr>
              <w:rPr>
                <w:rFonts w:ascii="Calibri" w:hAnsi="Calibri" w:cs="Calibri"/>
              </w:rPr>
            </w:pPr>
          </w:p>
        </w:tc>
        <w:tc>
          <w:tcPr>
            <w:tcW w:w="1664" w:type="dxa"/>
            <w:vAlign w:val="center"/>
          </w:tcPr>
          <w:p w14:paraId="33FF9E12" w14:textId="08760B88" w:rsidR="004F276F" w:rsidRPr="00C37D48" w:rsidRDefault="00EE1DB4"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A453080" w:rsidR="004F276F" w:rsidRPr="00C37D48" w:rsidRDefault="004F276F" w:rsidP="00C37D48">
            <w:pPr>
              <w:rPr>
                <w:rFonts w:ascii="Calibri" w:hAnsi="Calibri" w:cs="Calibri"/>
              </w:rPr>
            </w:pPr>
          </w:p>
        </w:tc>
        <w:tc>
          <w:tcPr>
            <w:tcW w:w="1664" w:type="dxa"/>
            <w:vAlign w:val="center"/>
          </w:tcPr>
          <w:p w14:paraId="413D0AF8" w14:textId="33A5245E" w:rsidR="004F276F" w:rsidRPr="00C37D48" w:rsidRDefault="00EE1DB4"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170FA52" w:rsidR="004F276F" w:rsidRPr="00C37D48" w:rsidRDefault="00EE1DB4"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6400344" w:rsidR="004F276F" w:rsidRPr="00C37D48" w:rsidRDefault="00EE1DB4"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2D087AC" w:rsidR="004F276F" w:rsidRPr="00C37D48" w:rsidRDefault="00EE1DB4" w:rsidP="00C37D48">
            <w:pPr>
              <w:rPr>
                <w:rFonts w:ascii="Calibri" w:hAnsi="Calibri" w:cs="Calibri"/>
              </w:rPr>
            </w:pPr>
            <w:r>
              <w:rPr>
                <w:rFonts w:ascii="Calibri" w:hAnsi="Calibri" w:cs="Calibri"/>
              </w:rPr>
              <w:t>The guidelines apply to regulate the operationalisation of the REF, from which grants may be awarded</w:t>
            </w:r>
            <w:r w:rsidR="00477C90">
              <w:rPr>
                <w:rFonts w:ascii="Calibri" w:hAnsi="Calibri" w:cs="Calibri"/>
              </w:rPr>
              <w:t xml:space="preserve"> to operators of electricity projects aimed at serving undeserved and unserved communities, provided that such operators apply for the award of such grants.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40D4ABC6" w:rsidR="004F276F" w:rsidRPr="00C37D48" w:rsidRDefault="00830760" w:rsidP="00C37D48">
            <w:pPr>
              <w:rPr>
                <w:rFonts w:ascii="Calibri" w:hAnsi="Calibri" w:cs="Calibri"/>
              </w:rPr>
            </w:pPr>
            <w:r w:rsidRPr="00830760">
              <w:rPr>
                <w:rFonts w:ascii="Calibri" w:hAnsi="Calibri" w:cs="Calibri"/>
              </w:rPr>
              <w:t>Not explicitly stated, but entity must have adequate personnel to execute the project.</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5016AF8D" w:rsidR="004F276F" w:rsidRPr="00C37D48" w:rsidRDefault="00874B17" w:rsidP="00C37D48">
            <w:pPr>
              <w:rPr>
                <w:rFonts w:ascii="Calibri" w:hAnsi="Calibri" w:cs="Calibri"/>
              </w:rPr>
            </w:pPr>
            <w:r w:rsidRPr="00874B17">
              <w:rPr>
                <w:rFonts w:ascii="Calibri" w:hAnsi="Calibri" w:cs="Calibri"/>
              </w:rPr>
              <w:t xml:space="preserve">Not explicitly </w:t>
            </w:r>
            <w:r w:rsidR="00233456" w:rsidRPr="00874B17">
              <w:rPr>
                <w:rFonts w:ascii="Calibri" w:hAnsi="Calibri" w:cs="Calibri"/>
              </w:rPr>
              <w:t>stated but</w:t>
            </w:r>
            <w:r w:rsidRPr="00874B17">
              <w:rPr>
                <w:rFonts w:ascii="Calibri" w:hAnsi="Calibri" w:cs="Calibri"/>
              </w:rPr>
              <w:t xml:space="preserve"> must show financial capability to fund at least 25% of total project cost.</w:t>
            </w: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5E1F32E5" w:rsidR="004F276F" w:rsidRPr="00C37D48" w:rsidRDefault="00233456" w:rsidP="00C37D48">
            <w:pPr>
              <w:rPr>
                <w:rFonts w:ascii="Calibri" w:hAnsi="Calibri" w:cs="Calibri"/>
                <w:lang w:val="sv-SE"/>
              </w:rPr>
            </w:pPr>
            <w:r w:rsidRPr="00233456">
              <w:rPr>
                <w:rFonts w:ascii="Calibri" w:hAnsi="Calibri" w:cs="Calibri"/>
                <w:lang w:val="sv-SE"/>
              </w:rPr>
              <w:t>Not stated, but must own or lease equipment and infrastructure</w:t>
            </w:r>
            <w:r w:rsidR="00455F6C">
              <w:rPr>
                <w:rFonts w:ascii="Calibri" w:hAnsi="Calibri" w:cs="Calibri"/>
                <w:lang w:val="sv-SE"/>
              </w:rPr>
              <w:t xml:space="preserve"> required to execute the project</w:t>
            </w:r>
            <w:r w:rsidRPr="00233456">
              <w:rPr>
                <w:rFonts w:ascii="Calibri" w:hAnsi="Calibri" w:cs="Calibri"/>
                <w:lang w:val="sv-SE"/>
              </w:rPr>
              <w:t>.</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D58A602" w:rsidR="004F276F" w:rsidRPr="00C37D48" w:rsidRDefault="00455F6C" w:rsidP="00C37D48">
            <w:pPr>
              <w:rPr>
                <w:rFonts w:ascii="Calibri" w:hAnsi="Calibri" w:cs="Calibri"/>
              </w:rPr>
            </w:pPr>
            <w:r>
              <w:rPr>
                <w:rFonts w:ascii="Calibri" w:hAnsi="Calibri" w:cs="Calibri"/>
              </w:rPr>
              <w:t xml:space="preserve">No minimum or maximum contract value has been prescribed for the project or the </w:t>
            </w:r>
            <w:r w:rsidR="00954D40">
              <w:rPr>
                <w:rFonts w:ascii="Calibri" w:hAnsi="Calibri" w:cs="Calibri"/>
              </w:rPr>
              <w:t>applicant, however, p</w:t>
            </w:r>
            <w:r w:rsidR="00871072" w:rsidRPr="00871072">
              <w:rPr>
                <w:rFonts w:ascii="Calibri" w:hAnsi="Calibri" w:cs="Calibri"/>
              </w:rPr>
              <w:t xml:space="preserve">rojects </w:t>
            </w:r>
            <w:r w:rsidR="00954D40">
              <w:rPr>
                <w:rFonts w:ascii="Calibri" w:hAnsi="Calibri" w:cs="Calibri"/>
              </w:rPr>
              <w:t xml:space="preserve">are expected to be of such size to </w:t>
            </w:r>
            <w:r w:rsidR="00871072" w:rsidRPr="00871072">
              <w:rPr>
                <w:rFonts w:ascii="Calibri" w:hAnsi="Calibri" w:cs="Calibri"/>
              </w:rPr>
              <w:t>meet the minimum REF grant amount of USD 10,000, with a max of 75% project cost</w:t>
            </w:r>
            <w:r w:rsidR="00954D40">
              <w:rPr>
                <w:rFonts w:ascii="Calibri" w:hAnsi="Calibri" w:cs="Calibri"/>
              </w:rPr>
              <w:t xml:space="preserve"> (in the case of infrastructure projects) and 50% of project costs (in the case of non-infrastructure projects)</w:t>
            </w:r>
            <w:r w:rsidR="00871072" w:rsidRPr="00871072">
              <w:rPr>
                <w:rFonts w:ascii="Calibri" w:hAnsi="Calibri" w:cs="Calibri"/>
              </w:rPr>
              <w:t>.</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BE7BC17" w:rsidR="004F276F" w:rsidRPr="00C37D48" w:rsidRDefault="00A713BA" w:rsidP="00C37D48">
            <w:pPr>
              <w:rPr>
                <w:rFonts w:ascii="Calibri" w:hAnsi="Calibri" w:cs="Calibri"/>
              </w:rPr>
            </w:pPr>
            <w:r w:rsidRPr="00A713BA">
              <w:rPr>
                <w:rFonts w:ascii="Calibri" w:hAnsi="Calibri" w:cs="Calibri"/>
              </w:rPr>
              <w:t>Yes. Applicants must be registered legal entities in Nigeria and have</w:t>
            </w:r>
            <w:r w:rsidR="00954D40">
              <w:rPr>
                <w:rFonts w:ascii="Calibri" w:hAnsi="Calibri" w:cs="Calibri"/>
              </w:rPr>
              <w:t xml:space="preserve"> legal</w:t>
            </w:r>
            <w:r w:rsidRPr="00A713BA">
              <w:rPr>
                <w:rFonts w:ascii="Calibri" w:hAnsi="Calibri" w:cs="Calibri"/>
              </w:rPr>
              <w:t xml:space="preserve"> capacity under Nigerian law</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w:t>
            </w:r>
            <w:proofErr w:type="gramStart"/>
            <w:r w:rsidRPr="00C37D48">
              <w:rPr>
                <w:rFonts w:ascii="Calibri" w:hAnsi="Calibri" w:cs="Calibri"/>
              </w:rPr>
              <w:t>e.g.</w:t>
            </w:r>
            <w:proofErr w:type="gramEnd"/>
            <w:r w:rsidRPr="00C37D48">
              <w:rPr>
                <w:rFonts w:ascii="Calibri" w:hAnsi="Calibri" w:cs="Calibri"/>
              </w:rPr>
              <w:t xml:space="preserve">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427A049"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5F3CF9DE" w:rsidR="004F276F" w:rsidRPr="00C37D48" w:rsidRDefault="00954D40"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3071476D" w:rsidR="004F276F" w:rsidRPr="00C37D48" w:rsidRDefault="00A713BA" w:rsidP="00C37D48">
            <w:pPr>
              <w:rPr>
                <w:rFonts w:ascii="Calibri" w:hAnsi="Calibri" w:cs="Calibri"/>
              </w:rPr>
            </w:pPr>
            <w:r>
              <w:rPr>
                <w:rFonts w:ascii="Calibri" w:hAnsi="Calibri" w:cs="Calibri"/>
              </w:rPr>
              <w:t>X</w:t>
            </w: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15803CAE"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3A49CCD" w:rsidR="004F276F" w:rsidRPr="00C37D48" w:rsidRDefault="007A10CF"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87C3841" w14:textId="0D204A27" w:rsidR="00321121" w:rsidRPr="00321121" w:rsidRDefault="00321121" w:rsidP="00321121">
            <w:pPr>
              <w:rPr>
                <w:rFonts w:ascii="Calibri" w:hAnsi="Calibri" w:cs="Calibri"/>
              </w:rPr>
            </w:pPr>
            <w:r w:rsidRPr="00321121">
              <w:rPr>
                <w:rFonts w:ascii="Calibri" w:hAnsi="Calibri" w:cs="Calibri"/>
              </w:rPr>
              <w:t>Section 4.6 of the REA provides that the REA reserves the right to terminate or revoke a grant award if the grant recipient fails to meet its obligations. It provides thus:</w:t>
            </w:r>
          </w:p>
          <w:p w14:paraId="6086E70F" w14:textId="77777777" w:rsidR="00321121" w:rsidRPr="00321121" w:rsidRDefault="00321121" w:rsidP="00321121">
            <w:pPr>
              <w:rPr>
                <w:rFonts w:ascii="Calibri" w:hAnsi="Calibri" w:cs="Calibri"/>
              </w:rPr>
            </w:pPr>
            <w:r w:rsidRPr="00321121">
              <w:rPr>
                <w:rFonts w:ascii="Calibri" w:hAnsi="Calibri" w:cs="Calibri"/>
              </w:rPr>
              <w:t>“In the event that any of the selected applicants withdraws or is withdrawn by the REA in consequence of poor mobilization within one month of signing the grant agreement or for poor performance or violation of applicable rules of limitation in the use of REF fund, the next highest scoring company on the reserve list shall be invited to take over the project.”</w:t>
            </w:r>
          </w:p>
          <w:p w14:paraId="325B154C" w14:textId="77777777" w:rsidR="00321121" w:rsidRPr="00321121" w:rsidRDefault="00321121" w:rsidP="00321121">
            <w:pPr>
              <w:rPr>
                <w:rFonts w:ascii="Calibri" w:hAnsi="Calibri" w:cs="Calibri"/>
              </w:rPr>
            </w:pPr>
            <w:r w:rsidRPr="00321121">
              <w:rPr>
                <w:rFonts w:ascii="Calibri" w:hAnsi="Calibri" w:cs="Calibri"/>
              </w:rPr>
              <w:t>Section 4.7 also provides that: “In case no agreement is reached within 1 month of the notification to the selected applicant on the decision on Grant Award, the REA shall have the right to replace the selected applicant by the next non-selected applicant in the reserve list.”</w:t>
            </w:r>
          </w:p>
          <w:p w14:paraId="6B4CDF32" w14:textId="77777777" w:rsidR="00321121" w:rsidRPr="00321121" w:rsidRDefault="00321121" w:rsidP="00321121">
            <w:pPr>
              <w:rPr>
                <w:rFonts w:ascii="Calibri" w:hAnsi="Calibri" w:cs="Calibri"/>
              </w:rPr>
            </w:pPr>
            <w:r w:rsidRPr="00321121">
              <w:rPr>
                <w:rFonts w:ascii="Calibri" w:hAnsi="Calibri" w:cs="Calibri"/>
              </w:rPr>
              <w:t>The implication of these provision is that when a grant recipient does not fulfil the requirements of an earlier REF funded project, such as completing the project or meeting agreed deliverables, they are disqualified from receiving new funding from the REF. This restriction applies even if the recipient later proposes a high-quality or impactful project. The policy treats past non-performance as a barrier to further participation in the fund.</w:t>
            </w:r>
          </w:p>
          <w:p w14:paraId="7F1B7227" w14:textId="7AC82714" w:rsidR="00321121" w:rsidRPr="00321121" w:rsidRDefault="00321121" w:rsidP="00321121">
            <w:pPr>
              <w:rPr>
                <w:rFonts w:ascii="Calibri" w:hAnsi="Calibri" w:cs="Calibri"/>
              </w:rPr>
            </w:pPr>
            <w:r w:rsidRPr="00321121">
              <w:rPr>
                <w:rFonts w:ascii="Calibri" w:hAnsi="Calibri" w:cs="Calibri"/>
              </w:rPr>
              <w:t xml:space="preserve">Additionally, section 3 of the REA </w:t>
            </w:r>
            <w:r w:rsidR="007A10CF">
              <w:rPr>
                <w:rFonts w:ascii="Calibri" w:hAnsi="Calibri" w:cs="Calibri"/>
              </w:rPr>
              <w:t xml:space="preserve">also contemplates loss of eligibility for new grants owing to non-performance or poor performance as it </w:t>
            </w:r>
            <w:r w:rsidRPr="00321121">
              <w:rPr>
                <w:rFonts w:ascii="Calibri" w:hAnsi="Calibri" w:cs="Calibri"/>
              </w:rPr>
              <w:t xml:space="preserve">provides that: “Considering a situation whereby the Applicant has not delivered fully yet on its initial grant agreement, as captured in the grant agreement, the latter will not be eligible for a second grant award.” This </w:t>
            </w:r>
            <w:r w:rsidR="007A10CF">
              <w:rPr>
                <w:rFonts w:ascii="Calibri" w:hAnsi="Calibri" w:cs="Calibri"/>
              </w:rPr>
              <w:t xml:space="preserve">implies that where </w:t>
            </w:r>
            <w:r w:rsidRPr="00321121">
              <w:rPr>
                <w:rFonts w:ascii="Calibri" w:hAnsi="Calibri" w:cs="Calibri"/>
              </w:rPr>
              <w:t>a grantee fails to complete or deliver a project under a previous REF award, they become ineligible for future funding, regardless of the project’s potential merit.</w:t>
            </w:r>
          </w:p>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DA26746" w:rsidR="001F30DE" w:rsidRPr="00C37D48" w:rsidRDefault="00321121"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E98A0E6" w:rsidR="00644759" w:rsidRPr="00C37D48" w:rsidRDefault="00B653A7" w:rsidP="00B653A7">
            <w:pPr>
              <w:rPr>
                <w:rFonts w:ascii="Calibri" w:hAnsi="Calibri" w:cs="Calibri"/>
              </w:rPr>
            </w:pPr>
            <w:r>
              <w:rPr>
                <w:rFonts w:ascii="Calibri" w:hAnsi="Calibri" w:cs="Calibri"/>
              </w:rPr>
              <w:t xml:space="preserve">We are aware of and have advised on several projects that have been funded by the capital grants obtained from the REF, which have complied with the guidelines. For more information, see: </w:t>
            </w:r>
            <w:hyperlink r:id="rId18" w:anchor=":~:text=The%20Rural%20Electrification%20Agency%20(REA)%20has%20signed%20agreements,Systems%20(SHS)%20under%20its%20REF%20Call%203%20initiative" w:history="1">
              <w:r w:rsidRPr="00B653A7">
                <w:rPr>
                  <w:rStyle w:val="Hyperlink"/>
                  <w:rFonts w:ascii="Calibri" w:hAnsi="Calibri" w:cs="Calibri"/>
                </w:rPr>
                <w:t>https://leadership.ng/rea-signs-agreement-with-58-firms-for-solar-minigrids</w:t>
              </w:r>
            </w:hyperlink>
            <w:r w:rsidRPr="00B653A7">
              <w:rPr>
                <w:rFonts w:ascii="Calibri" w:hAnsi="Calibri" w:cs="Calibri"/>
              </w:rPr>
              <w:t>.</w:t>
            </w:r>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6D60952" w:rsidR="001F30DE" w:rsidRPr="00C37D48" w:rsidRDefault="0064475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C307F56" w:rsidR="001F30DE" w:rsidRPr="00C37D48" w:rsidRDefault="0064475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058166A" w:rsidR="004F48E8" w:rsidRPr="00C37D48" w:rsidRDefault="0038671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E4CC06C" w:rsidR="000A1365" w:rsidRPr="00C37D48" w:rsidRDefault="0058656E"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A190E78"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571B0713" w:rsidR="00D27551" w:rsidRPr="00C37D48" w:rsidRDefault="00DD2AB4" w:rsidP="00C37D48">
            <w:pPr>
              <w:rPr>
                <w:rFonts w:ascii="Calibri" w:hAnsi="Calibri" w:cs="Calibri"/>
              </w:rPr>
            </w:pPr>
            <w:r w:rsidRPr="00DD2AB4">
              <w:rPr>
                <w:rFonts w:ascii="Calibri" w:hAnsi="Calibri" w:cs="Calibri"/>
              </w:rPr>
              <w:t>No, the targeted entities for having or developing climate-related targets do not differ from those identified in Q2.1</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w:t>
            </w:r>
            <w:proofErr w:type="gramStart"/>
            <w:r w:rsidRPr="00C37D48">
              <w:rPr>
                <w:rFonts w:ascii="Calibri" w:hAnsi="Calibri" w:cs="Calibri"/>
              </w:rPr>
              <w:t>e.g.</w:t>
            </w:r>
            <w:proofErr w:type="gramEnd"/>
            <w:r w:rsidRPr="00C37D48">
              <w:rPr>
                <w:rFonts w:ascii="Calibri" w:hAnsi="Calibri" w:cs="Calibri"/>
              </w:rPr>
              <w:t xml:space="preserve">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17EDD3A" w:rsidR="004A4C51" w:rsidRPr="00C37D48" w:rsidRDefault="00AE6586" w:rsidP="00C37D48">
            <w:pPr>
              <w:rPr>
                <w:rFonts w:ascii="Calibri" w:hAnsi="Calibri" w:cs="Calibri"/>
              </w:rPr>
            </w:pPr>
            <w:r w:rsidRPr="00AE6586">
              <w:rPr>
                <w:rFonts w:ascii="Calibri" w:hAnsi="Calibri" w:cs="Calibri"/>
              </w:rPr>
              <w:t>No, the REF 2017 Operational Guidelines do not make any recommendations or requirements regarding the use of offsets</w:t>
            </w:r>
            <w:r w:rsidR="0058656E">
              <w:rPr>
                <w:rFonts w:ascii="Calibri" w:hAnsi="Calibri" w:cs="Calibri"/>
              </w:rPr>
              <w:t>.</w:t>
            </w:r>
          </w:p>
        </w:tc>
      </w:tr>
    </w:tbl>
    <w:p w14:paraId="439F6C5D" w14:textId="77777777" w:rsidR="00D21D15" w:rsidRDefault="00D21D15"/>
    <w:p w14:paraId="558DAABD" w14:textId="409D3642" w:rsidR="00105889" w:rsidRDefault="005E50FD" w:rsidP="00950B68">
      <w:pPr>
        <w:pStyle w:val="Heading2"/>
      </w:pPr>
      <w:bookmarkStart w:id="11" w:name="_Toc198223610"/>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0FDB861" w:rsidR="00890032" w:rsidRPr="00C37D48" w:rsidRDefault="0058656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5AF9ECC9"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2F19A40" w:rsidR="00474855" w:rsidRPr="00C37D48" w:rsidRDefault="00DB49B2" w:rsidP="00C37D48">
            <w:pPr>
              <w:rPr>
                <w:rFonts w:ascii="Calibri" w:hAnsi="Calibri" w:cs="Calibri"/>
              </w:rPr>
            </w:pPr>
            <w:r w:rsidRPr="00DB49B2">
              <w:rPr>
                <w:rFonts w:ascii="Calibri" w:hAnsi="Calibri" w:cs="Calibri"/>
              </w:rPr>
              <w:t>No, the targeted entities for having or developing a transition plan do not differ from those identified in Q2.1</w:t>
            </w:r>
            <w:r>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w:t>
            </w:r>
            <w:proofErr w:type="gramStart"/>
            <w:r w:rsidRPr="00C37D48">
              <w:rPr>
                <w:rFonts w:ascii="Calibri" w:hAnsi="Calibri" w:cs="Calibri"/>
              </w:rPr>
              <w:t>e.g.</w:t>
            </w:r>
            <w:proofErr w:type="gramEnd"/>
            <w:r w:rsidRPr="00C37D48">
              <w:rPr>
                <w:rFonts w:ascii="Calibri" w:hAnsi="Calibri" w:cs="Calibri"/>
              </w:rPr>
              <w:t xml:space="preserve">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9D9A584" w:rsidR="00B610C2" w:rsidRPr="00610F28" w:rsidRDefault="00115ED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DAFC2AC" w:rsidR="00B610C2" w:rsidRPr="00610F28" w:rsidRDefault="00115ED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ACC14EE" w:rsidR="00B610C2" w:rsidRPr="00610F28" w:rsidRDefault="00115ED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24BBD24" w:rsidR="00B610C2" w:rsidRPr="00610F28" w:rsidRDefault="00115ED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EA3B6E9" w:rsidR="00B610C2" w:rsidRPr="00610F28" w:rsidRDefault="00115ED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9AD089F" w:rsidR="00B610C2" w:rsidRPr="00610F28" w:rsidRDefault="00115ED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E309EE5" w:rsidR="00B610C2" w:rsidRPr="00610F28" w:rsidRDefault="00115ED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A4C7695" w:rsidR="00B610C2" w:rsidRPr="00610F28" w:rsidRDefault="00115ED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26DFF3C" w:rsidR="00B610C2" w:rsidRPr="00610F28" w:rsidRDefault="00115ED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0E550C0" w:rsidR="00B610C2" w:rsidRPr="00610F28" w:rsidRDefault="00115ED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67EB272A"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w:t>
            </w:r>
            <w:proofErr w:type="gramStart"/>
            <w:r w:rsidRPr="00610F28">
              <w:rPr>
                <w:rFonts w:ascii="Calibri" w:hAnsi="Calibri" w:cs="Calibri"/>
              </w:rPr>
              <w:t>i.e.</w:t>
            </w:r>
            <w:proofErr w:type="gramEnd"/>
            <w:r w:rsidRPr="00610F28">
              <w:rPr>
                <w:rFonts w:ascii="Calibri" w:hAnsi="Calibri" w:cs="Calibri"/>
              </w:rPr>
              <w:t xml:space="preserv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39254EE2"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w:t>
            </w:r>
            <w:proofErr w:type="gramStart"/>
            <w:r w:rsidRPr="00610F28">
              <w:rPr>
                <w:rFonts w:ascii="Calibri" w:hAnsi="Calibri" w:cs="Calibri"/>
              </w:rPr>
              <w:t>e.g.</w:t>
            </w:r>
            <w:proofErr w:type="gramEnd"/>
            <w:r w:rsidRPr="00610F28">
              <w:rPr>
                <w:rFonts w:ascii="Calibri" w:hAnsi="Calibri" w:cs="Calibri"/>
              </w:rPr>
              <w:t xml:space="preserve">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w:t>
            </w:r>
            <w:proofErr w:type="gramStart"/>
            <w:r w:rsidRPr="00610F28">
              <w:rPr>
                <w:rFonts w:ascii="Calibri" w:hAnsi="Calibri" w:cs="Calibri"/>
              </w:rPr>
              <w:t>e.g.</w:t>
            </w:r>
            <w:proofErr w:type="gramEnd"/>
            <w:r w:rsidRPr="00610F28">
              <w:rPr>
                <w:rFonts w:ascii="Calibri" w:hAnsi="Calibri" w:cs="Calibri"/>
              </w:rPr>
              <w:t xml:space="preserve">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w:t>
            </w:r>
            <w:proofErr w:type="gramStart"/>
            <w:r w:rsidRPr="00610F28">
              <w:rPr>
                <w:rFonts w:ascii="Calibri" w:hAnsi="Calibri" w:cs="Calibri"/>
              </w:rPr>
              <w:t>e.g.</w:t>
            </w:r>
            <w:proofErr w:type="gramEnd"/>
            <w:r w:rsidRPr="00610F28">
              <w:rPr>
                <w:rFonts w:ascii="Calibri" w:hAnsi="Calibri" w:cs="Calibri"/>
              </w:rPr>
              <w:t xml:space="preserve">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is mandatory opt out of the obligation (</w:t>
            </w:r>
            <w:proofErr w:type="gramStart"/>
            <w:r w:rsidRPr="00610F28">
              <w:rPr>
                <w:rFonts w:ascii="Calibri" w:hAnsi="Calibri" w:cs="Calibri"/>
              </w:rPr>
              <w:t>e.g.</w:t>
            </w:r>
            <w:proofErr w:type="gramEnd"/>
            <w:r w:rsidRPr="00610F28">
              <w:rPr>
                <w:rFonts w:ascii="Calibri" w:hAnsi="Calibri" w:cs="Calibri"/>
              </w:rPr>
              <w:t xml:space="preserve">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Procuring entities inform and/or consult with market actors in advance of publishing the formal call for tenders, in relation to climate considerations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or value for money evaluation frameworks (</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w:t>
            </w:r>
            <w:proofErr w:type="gramStart"/>
            <w:r w:rsidRPr="0074258C">
              <w:rPr>
                <w:rStyle w:val="normaltextrun"/>
                <w:rFonts w:cstheme="minorHAnsi"/>
                <w:color w:val="000000"/>
                <w:lang w:val="en-US"/>
              </w:rPr>
              <w:t>e.g.</w:t>
            </w:r>
            <w:proofErr w:type="gramEnd"/>
            <w:r w:rsidRPr="0074258C">
              <w:rPr>
                <w:rStyle w:val="normaltextrun"/>
                <w:rFonts w:cstheme="minorHAnsi"/>
                <w:color w:val="000000"/>
                <w:lang w:val="en-US"/>
              </w:rPr>
              <w:t xml:space="preserve">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w:t>
            </w:r>
            <w:proofErr w:type="gramStart"/>
            <w:r w:rsidRPr="00CF2E7C">
              <w:rPr>
                <w:rFonts w:ascii="Calibri" w:hAnsi="Calibri" w:cs="Calibri"/>
              </w:rPr>
              <w:t>i.e.</w:t>
            </w:r>
            <w:proofErr w:type="gramEnd"/>
            <w:r w:rsidRPr="00CF2E7C">
              <w:rPr>
                <w:rFonts w:ascii="Calibri" w:hAnsi="Calibri" w:cs="Calibri"/>
              </w:rPr>
              <w:t xml:space="preserv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Other approaches to crediting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w:t>
            </w:r>
            <w:proofErr w:type="gramStart"/>
            <w:r w:rsidRPr="00CF2E7C">
              <w:rPr>
                <w:rFonts w:ascii="Calibri" w:eastAsia="Times New Roman" w:hAnsi="Calibri" w:cs="Calibri"/>
                <w:kern w:val="0"/>
                <w:lang w:eastAsia="en-GB"/>
                <w14:ligatures w14:val="none"/>
              </w:rPr>
              <w:t>i.e.</w:t>
            </w:r>
            <w:proofErr w:type="gramEnd"/>
            <w:r w:rsidRPr="00CF2E7C">
              <w:rPr>
                <w:rFonts w:ascii="Calibri" w:eastAsia="Times New Roman" w:hAnsi="Calibri" w:cs="Calibri"/>
                <w:kern w:val="0"/>
                <w:lang w:eastAsia="en-GB"/>
                <w14:ligatures w14:val="none"/>
              </w:rPr>
              <w:t xml:space="preserv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Setting accountability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requirements vary across entities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Based on international frameworks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17D5E"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17D5E"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 xml:space="preserve">Government agencies and/or departments (regional –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Other (</w:t>
            </w:r>
            <w:proofErr w:type="gramStart"/>
            <w:r w:rsidRPr="00CF2E7C">
              <w:rPr>
                <w:rFonts w:ascii="Calibri" w:hAnsi="Calibri" w:cs="Calibri"/>
              </w:rPr>
              <w:t>i.e.</w:t>
            </w:r>
            <w:proofErr w:type="gramEnd"/>
            <w:r w:rsidRPr="00CF2E7C">
              <w:rPr>
                <w:rFonts w:ascii="Calibri" w:hAnsi="Calibri" w:cs="Calibri"/>
              </w:rPr>
              <w:t xml:space="preserv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62F401" w14:textId="77777777" w:rsidR="00B17D5E" w:rsidRDefault="00B17D5E" w:rsidP="00874E39">
      <w:r>
        <w:separator/>
      </w:r>
    </w:p>
  </w:endnote>
  <w:endnote w:type="continuationSeparator" w:id="0">
    <w:p w14:paraId="4C0CB24D" w14:textId="77777777" w:rsidR="00B17D5E" w:rsidRDefault="00B17D5E" w:rsidP="00874E39">
      <w:r>
        <w:continuationSeparator/>
      </w:r>
    </w:p>
  </w:endnote>
  <w:endnote w:type="continuationNotice" w:id="1">
    <w:p w14:paraId="775D7C3D" w14:textId="77777777" w:rsidR="00B17D5E" w:rsidRDefault="00B17D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8AF374" w14:textId="77777777" w:rsidR="00B17D5E" w:rsidRDefault="00B17D5E" w:rsidP="00874E39">
      <w:r>
        <w:separator/>
      </w:r>
    </w:p>
  </w:footnote>
  <w:footnote w:type="continuationSeparator" w:id="0">
    <w:p w14:paraId="47D72433" w14:textId="77777777" w:rsidR="00B17D5E" w:rsidRDefault="00B17D5E" w:rsidP="00874E39">
      <w:r>
        <w:continuationSeparator/>
      </w:r>
    </w:p>
  </w:footnote>
  <w:footnote w:type="continuationNotice" w:id="1">
    <w:p w14:paraId="167229CE" w14:textId="77777777" w:rsidR="00B17D5E" w:rsidRDefault="00B17D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4D0"/>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D9B"/>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ED5"/>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5FF6"/>
    <w:rsid w:val="001E63F2"/>
    <w:rsid w:val="001E7064"/>
    <w:rsid w:val="001E7C37"/>
    <w:rsid w:val="001E7EFB"/>
    <w:rsid w:val="001F028F"/>
    <w:rsid w:val="001F1106"/>
    <w:rsid w:val="001F1231"/>
    <w:rsid w:val="001F1584"/>
    <w:rsid w:val="001F2D88"/>
    <w:rsid w:val="001F2DE2"/>
    <w:rsid w:val="001F2FC4"/>
    <w:rsid w:val="001F30DE"/>
    <w:rsid w:val="001F36B6"/>
    <w:rsid w:val="001F6FF9"/>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456"/>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A1"/>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8FC"/>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C86"/>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12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5A5"/>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71E"/>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B1E"/>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050"/>
    <w:rsid w:val="00444D51"/>
    <w:rsid w:val="004474C7"/>
    <w:rsid w:val="00450AD7"/>
    <w:rsid w:val="00450C15"/>
    <w:rsid w:val="004514AB"/>
    <w:rsid w:val="00452F13"/>
    <w:rsid w:val="004557A1"/>
    <w:rsid w:val="00455E1B"/>
    <w:rsid w:val="00455F6C"/>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C90"/>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CD7"/>
    <w:rsid w:val="004C1FF2"/>
    <w:rsid w:val="004C20B7"/>
    <w:rsid w:val="004C3866"/>
    <w:rsid w:val="004C3A52"/>
    <w:rsid w:val="004C41EB"/>
    <w:rsid w:val="004C6739"/>
    <w:rsid w:val="004C70AC"/>
    <w:rsid w:val="004D2730"/>
    <w:rsid w:val="004D3416"/>
    <w:rsid w:val="004D5810"/>
    <w:rsid w:val="004D6484"/>
    <w:rsid w:val="004D7C53"/>
    <w:rsid w:val="004E426A"/>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56E"/>
    <w:rsid w:val="00586A0A"/>
    <w:rsid w:val="005870D5"/>
    <w:rsid w:val="00587FAE"/>
    <w:rsid w:val="005900AD"/>
    <w:rsid w:val="005923CF"/>
    <w:rsid w:val="00592CDE"/>
    <w:rsid w:val="00592E44"/>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3FB6"/>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75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0E6"/>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57F"/>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BBC"/>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60F"/>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F0C"/>
    <w:rsid w:val="007A10CF"/>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760"/>
    <w:rsid w:val="00831667"/>
    <w:rsid w:val="008318AE"/>
    <w:rsid w:val="00831C3E"/>
    <w:rsid w:val="008328D3"/>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072"/>
    <w:rsid w:val="008711F8"/>
    <w:rsid w:val="00872A9A"/>
    <w:rsid w:val="008732CE"/>
    <w:rsid w:val="0087393B"/>
    <w:rsid w:val="008747C8"/>
    <w:rsid w:val="00874B17"/>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13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A38"/>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4D40"/>
    <w:rsid w:val="009556EA"/>
    <w:rsid w:val="00955BFF"/>
    <w:rsid w:val="00956390"/>
    <w:rsid w:val="0095736B"/>
    <w:rsid w:val="00960F14"/>
    <w:rsid w:val="009612D3"/>
    <w:rsid w:val="00962064"/>
    <w:rsid w:val="00962F14"/>
    <w:rsid w:val="00963A39"/>
    <w:rsid w:val="00963DC5"/>
    <w:rsid w:val="009649F8"/>
    <w:rsid w:val="00966139"/>
    <w:rsid w:val="00966160"/>
    <w:rsid w:val="00966885"/>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7E6"/>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ACD"/>
    <w:rsid w:val="009E7C10"/>
    <w:rsid w:val="009F3542"/>
    <w:rsid w:val="009F3B1D"/>
    <w:rsid w:val="009F56B4"/>
    <w:rsid w:val="009F5822"/>
    <w:rsid w:val="009F676A"/>
    <w:rsid w:val="009F7316"/>
    <w:rsid w:val="00A02AF3"/>
    <w:rsid w:val="00A035AB"/>
    <w:rsid w:val="00A037F6"/>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670"/>
    <w:rsid w:val="00A711B3"/>
    <w:rsid w:val="00A713BA"/>
    <w:rsid w:val="00A71C2B"/>
    <w:rsid w:val="00A72E82"/>
    <w:rsid w:val="00A76423"/>
    <w:rsid w:val="00A773D0"/>
    <w:rsid w:val="00A77738"/>
    <w:rsid w:val="00A7786A"/>
    <w:rsid w:val="00A779A2"/>
    <w:rsid w:val="00A80131"/>
    <w:rsid w:val="00A818E6"/>
    <w:rsid w:val="00A81A71"/>
    <w:rsid w:val="00A84C61"/>
    <w:rsid w:val="00A85352"/>
    <w:rsid w:val="00A8625C"/>
    <w:rsid w:val="00A86DFE"/>
    <w:rsid w:val="00A870CA"/>
    <w:rsid w:val="00A87442"/>
    <w:rsid w:val="00A90D91"/>
    <w:rsid w:val="00A91473"/>
    <w:rsid w:val="00A93112"/>
    <w:rsid w:val="00A932DE"/>
    <w:rsid w:val="00A9656E"/>
    <w:rsid w:val="00AA186B"/>
    <w:rsid w:val="00AA38F6"/>
    <w:rsid w:val="00AA4965"/>
    <w:rsid w:val="00AA6DDB"/>
    <w:rsid w:val="00AB0830"/>
    <w:rsid w:val="00AB2CCC"/>
    <w:rsid w:val="00AB4F2C"/>
    <w:rsid w:val="00AB52FC"/>
    <w:rsid w:val="00AB5439"/>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4EF"/>
    <w:rsid w:val="00AE2662"/>
    <w:rsid w:val="00AE3CBD"/>
    <w:rsid w:val="00AE5D21"/>
    <w:rsid w:val="00AE6586"/>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4C1B"/>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D5E"/>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3A7"/>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736"/>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9B2"/>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AB4"/>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8E3"/>
    <w:rsid w:val="00E41941"/>
    <w:rsid w:val="00E425D4"/>
    <w:rsid w:val="00E43229"/>
    <w:rsid w:val="00E454C9"/>
    <w:rsid w:val="00E502C7"/>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DB4"/>
    <w:rsid w:val="00EE23B3"/>
    <w:rsid w:val="00EE5475"/>
    <w:rsid w:val="00EE7415"/>
    <w:rsid w:val="00EF0934"/>
    <w:rsid w:val="00EF1A36"/>
    <w:rsid w:val="00EF1F17"/>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leadership.ng/rea-signs-agreement-with-58-firms-for-solar-minigrid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ea.gov.ng/wp-content/uploads/2017/11/Approved-Operational-Guidelines-for-the-REF-2017-v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113</Pages>
  <Words>22709</Words>
  <Characters>129447</Characters>
  <Application>Microsoft Office Word</Application>
  <DocSecurity>0</DocSecurity>
  <Lines>1078</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4</cp:revision>
  <cp:lastPrinted>2025-03-21T00:14:00Z</cp:lastPrinted>
  <dcterms:created xsi:type="dcterms:W3CDTF">2025-07-27T12:53:00Z</dcterms:created>
  <dcterms:modified xsi:type="dcterms:W3CDTF">2025-08-04T03:12:00Z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